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D7BF" w14:textId="77777777" w:rsidR="00505CC3" w:rsidRPr="0099134E" w:rsidRDefault="004727E6" w:rsidP="00480655">
      <w:pPr>
        <w:rPr>
          <w:rFonts w:ascii="Arial Black" w:hAnsi="Arial Black"/>
          <w:b/>
          <w:bCs/>
          <w:sz w:val="26"/>
          <w:szCs w:val="26"/>
        </w:rPr>
      </w:pPr>
      <w:r>
        <w:rPr>
          <w:rFonts w:ascii="Arial Black" w:hAnsi="Arial Black"/>
          <w:b/>
          <w:bCs/>
          <w:sz w:val="26"/>
          <w:szCs w:val="26"/>
        </w:rPr>
        <w:t xml:space="preserve">Modello di regolamento sulle molestie sessuali </w:t>
      </w:r>
    </w:p>
    <w:p w14:paraId="01D78D09" w14:textId="77777777" w:rsidR="00872DDD" w:rsidRPr="0099134E" w:rsidRDefault="00872DDD" w:rsidP="00480655">
      <w:pPr>
        <w:pBdr>
          <w:bottom w:val="single" w:sz="12" w:space="1" w:color="auto"/>
        </w:pBdr>
        <w:rPr>
          <w:i/>
          <w:iCs/>
        </w:rPr>
      </w:pPr>
      <w:r>
        <w:rPr>
          <w:i/>
          <w:iCs/>
        </w:rPr>
        <w:t xml:space="preserve">XX.XX.2020, sindacato Unia </w:t>
      </w:r>
    </w:p>
    <w:p w14:paraId="454A5328" w14:textId="77777777" w:rsidR="00272E0D" w:rsidRPr="0099134E" w:rsidRDefault="00A25002" w:rsidP="0048065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Il sindacato Unia mette a disposizione delle aziende il presente modello di regolamento. I passaggi evidenziati in giallo devono essere personalizzati. Il sindacato Unia declina ogni responsabilità in relazione alla completezza del presente regolamento e raccomanda di sottoporlo a un esame giuridico prima della sua entrata in vigore. </w:t>
      </w:r>
    </w:p>
    <w:p w14:paraId="4F650AE9" w14:textId="77777777" w:rsidR="004727E6" w:rsidRPr="0099134E" w:rsidRDefault="004727E6" w:rsidP="00480655">
      <w:pPr>
        <w:rPr>
          <w:b/>
        </w:rPr>
      </w:pPr>
      <w:r>
        <w:rPr>
          <w:b/>
        </w:rPr>
        <w:t xml:space="preserve">1 Protezione dell’integrità personale </w:t>
      </w:r>
    </w:p>
    <w:p w14:paraId="72607445" w14:textId="0B051722" w:rsidR="00DB6093" w:rsidRPr="0099134E" w:rsidRDefault="004727E6" w:rsidP="00480655">
      <w:pPr>
        <w:pStyle w:val="Listenabsatz"/>
        <w:numPr>
          <w:ilvl w:val="0"/>
          <w:numId w:val="2"/>
        </w:numPr>
      </w:pPr>
      <w:r>
        <w:t xml:space="preserve">Le molestie sessuali sul posto di lavoro rappresentano una forma di manifestazione </w:t>
      </w:r>
      <w:r w:rsidR="00E65197">
        <w:t>di</w:t>
      </w:r>
      <w:r>
        <w:t xml:space="preserve"> potere. </w:t>
      </w:r>
      <w:r w:rsidR="00E65197">
        <w:t>Pregiudicano</w:t>
      </w:r>
      <w:r>
        <w:t xml:space="preserve"> la libertà personale e in tal modo i diritti della personalità della persona che ne è oggetto. Compromettono il benessere generale, l’autostima, lo sviluppo della personalità nonché la libertà di azione e decisione della persona che le subisce, violando la sua dignità e la sua immagine sociale. </w:t>
      </w:r>
    </w:p>
    <w:p w14:paraId="79595CEB" w14:textId="214DA19F" w:rsidR="00DB6093" w:rsidRPr="0099134E" w:rsidRDefault="004727E6" w:rsidP="00480655">
      <w:pPr>
        <w:pStyle w:val="Listenabsatz"/>
        <w:numPr>
          <w:ilvl w:val="0"/>
          <w:numId w:val="2"/>
        </w:numPr>
      </w:pPr>
      <w:r>
        <w:t xml:space="preserve">Le molestie sessuali possono essere messe in atto sia da collaboratori che da collaboratrici. </w:t>
      </w:r>
    </w:p>
    <w:p w14:paraId="744EAC43" w14:textId="77777777" w:rsidR="004727E6" w:rsidRPr="0099134E" w:rsidRDefault="004727E6" w:rsidP="00480655">
      <w:pPr>
        <w:pStyle w:val="Listenabsatz"/>
        <w:numPr>
          <w:ilvl w:val="0"/>
          <w:numId w:val="2"/>
        </w:numPr>
      </w:pPr>
      <w:r>
        <w:t xml:space="preserve">Le molestie sessuali sul posto di lavoro sono vietate. Le misure e le sanzioni previste dal presente regolamento mirano a impedire simili abusi. </w:t>
      </w:r>
    </w:p>
    <w:p w14:paraId="09338127" w14:textId="5D551FB5" w:rsidR="00272E0D" w:rsidRPr="0099134E" w:rsidRDefault="00C712CD" w:rsidP="00480655">
      <w:pPr>
        <w:pStyle w:val="Listenabsatz"/>
        <w:numPr>
          <w:ilvl w:val="0"/>
          <w:numId w:val="2"/>
        </w:numPr>
      </w:pPr>
      <w:r>
        <w:t xml:space="preserve">Le persone in formazione (stage, tirocinio o altra formazione) necessitano di una tutela speciale. Dato il loro forte rapporto di dipendenza (posizione gerarchica subordinata nei confronti dell’autore o dell’autrice delle molestie che commette un di abuso di potere), devono essere particolarmente tutelate nei confronti delle molestie sessuali. Le persone </w:t>
      </w:r>
      <w:r>
        <w:rPr>
          <w:highlight w:val="yellow"/>
        </w:rPr>
        <w:t>dell'azienda / dell’organizzazione XY</w:t>
      </w:r>
      <w:r>
        <w:t xml:space="preserve">, responsabili per le persone in formazione, sottostanno pertanto a uno speciale obbligo di diligenza. </w:t>
      </w:r>
    </w:p>
    <w:p w14:paraId="17EE5D8F" w14:textId="77777777" w:rsidR="00DB6093" w:rsidRPr="0099134E" w:rsidRDefault="004727E6" w:rsidP="00480655">
      <w:pPr>
        <w:rPr>
          <w:b/>
        </w:rPr>
      </w:pPr>
      <w:r>
        <w:rPr>
          <w:b/>
        </w:rPr>
        <w:t>2 Campo di applicazione personale e materiale</w:t>
      </w:r>
    </w:p>
    <w:p w14:paraId="2E87E6C1" w14:textId="77777777" w:rsidR="00DB6093" w:rsidRPr="0099134E" w:rsidRDefault="004727E6" w:rsidP="00480655">
      <w:pPr>
        <w:pStyle w:val="Listenabsatz"/>
        <w:numPr>
          <w:ilvl w:val="0"/>
          <w:numId w:val="3"/>
        </w:numPr>
        <w:rPr>
          <w:b/>
        </w:rPr>
      </w:pPr>
      <w:r>
        <w:t xml:space="preserve">Il presente regolamento è valido per tutto il personale </w:t>
      </w:r>
      <w:r>
        <w:rPr>
          <w:highlight w:val="yellow"/>
        </w:rPr>
        <w:t>dell'azienda / dell’organizzazione XY</w:t>
      </w:r>
      <w:r>
        <w:t xml:space="preserve">. </w:t>
      </w:r>
    </w:p>
    <w:p w14:paraId="2EAC4F9C" w14:textId="77777777" w:rsidR="004727E6" w:rsidRPr="0099134E" w:rsidRDefault="004727E6" w:rsidP="00480655">
      <w:pPr>
        <w:pStyle w:val="Listenabsatz"/>
        <w:numPr>
          <w:ilvl w:val="0"/>
          <w:numId w:val="3"/>
        </w:numPr>
        <w:rPr>
          <w:b/>
        </w:rPr>
      </w:pPr>
      <w:r>
        <w:t xml:space="preserve">Il regolamento disciplina il comportamento sia sul posto di lavoro che al di fuori del lavoro, cioè nel tempo libero, qualora esso abbia ripercussioni sulla collaborazione al lavoro. </w:t>
      </w:r>
    </w:p>
    <w:p w14:paraId="2376D0D1" w14:textId="77777777" w:rsidR="004727E6" w:rsidRPr="0099134E" w:rsidRDefault="004727E6" w:rsidP="00480655">
      <w:pPr>
        <w:rPr>
          <w:b/>
        </w:rPr>
      </w:pPr>
      <w:r>
        <w:rPr>
          <w:b/>
        </w:rPr>
        <w:t>3 Molestie sessuali</w:t>
      </w:r>
    </w:p>
    <w:p w14:paraId="20359DCC" w14:textId="77777777" w:rsidR="004727E6" w:rsidRPr="0099134E" w:rsidRDefault="004727E6" w:rsidP="00DB6093">
      <w:pPr>
        <w:pStyle w:val="Listenabsatz"/>
        <w:numPr>
          <w:ilvl w:val="0"/>
          <w:numId w:val="4"/>
        </w:numPr>
      </w:pPr>
      <w:r>
        <w:t xml:space="preserve">Per molestia sessuale si intende ogni atto o comportamento a connotazione sessuale o fondato sull’appartenenza a un sesso, che non risulta gradito alla persona alla quale è rivolto e che ne lede o mortifica la dignità. </w:t>
      </w:r>
    </w:p>
    <w:p w14:paraId="43F3539B" w14:textId="77777777" w:rsidR="004727E6" w:rsidRPr="0099134E" w:rsidRDefault="004727E6" w:rsidP="00DB6093">
      <w:pPr>
        <w:pStyle w:val="Listenabsatz"/>
        <w:numPr>
          <w:ilvl w:val="0"/>
          <w:numId w:val="4"/>
        </w:numPr>
      </w:pPr>
      <w:r>
        <w:t xml:space="preserve">Le molestie sessuali possono assumere in particolare le seguenti forme: </w:t>
      </w:r>
    </w:p>
    <w:p w14:paraId="68DB397F" w14:textId="77777777" w:rsidR="004727E6" w:rsidRPr="0099134E" w:rsidRDefault="00031DC0" w:rsidP="004727E6">
      <w:pPr>
        <w:pStyle w:val="Listenabsatz"/>
        <w:numPr>
          <w:ilvl w:val="0"/>
          <w:numId w:val="1"/>
        </w:numPr>
      </w:pPr>
      <w:bookmarkStart w:id="0" w:name="_Hlk43903894"/>
      <w:r>
        <w:t>osservazioni allusive</w:t>
      </w:r>
    </w:p>
    <w:p w14:paraId="3D39B552" w14:textId="77777777" w:rsidR="004727E6" w:rsidRPr="0099134E" w:rsidRDefault="004727E6" w:rsidP="004727E6">
      <w:pPr>
        <w:pStyle w:val="Listenabsatz"/>
        <w:numPr>
          <w:ilvl w:val="0"/>
          <w:numId w:val="1"/>
        </w:numPr>
      </w:pPr>
      <w:r>
        <w:t>detti, battute, e mail, SMS, WhatsApp ecc. di natura sessista, cioè apprezzamenti su doti o difetti fisici, sul comportamento o sull’orientamento sessuale</w:t>
      </w:r>
    </w:p>
    <w:p w14:paraId="69EDF21D" w14:textId="77777777" w:rsidR="004727E6" w:rsidRPr="0099134E" w:rsidRDefault="004727E6" w:rsidP="004727E6">
      <w:pPr>
        <w:pStyle w:val="Listenabsatz"/>
        <w:numPr>
          <w:ilvl w:val="0"/>
          <w:numId w:val="1"/>
        </w:numPr>
      </w:pPr>
      <w:r>
        <w:t>sguardi insistenti e lascivi sulle caratteristiche sessuali</w:t>
      </w:r>
    </w:p>
    <w:p w14:paraId="686E2EE1" w14:textId="77777777" w:rsidR="004727E6" w:rsidRPr="0099134E" w:rsidRDefault="004727E6" w:rsidP="004727E6">
      <w:pPr>
        <w:pStyle w:val="Listenabsatz"/>
        <w:numPr>
          <w:ilvl w:val="0"/>
          <w:numId w:val="1"/>
        </w:numPr>
      </w:pPr>
      <w:r>
        <w:t>esibizione di materiale pornografico</w:t>
      </w:r>
    </w:p>
    <w:p w14:paraId="6609609A" w14:textId="77777777" w:rsidR="004727E6" w:rsidRPr="0099134E" w:rsidRDefault="004727E6" w:rsidP="004727E6">
      <w:pPr>
        <w:pStyle w:val="Listenabsatz"/>
        <w:numPr>
          <w:ilvl w:val="0"/>
          <w:numId w:val="1"/>
        </w:numPr>
      </w:pPr>
      <w:r>
        <w:t xml:space="preserve">proposte o inviti a doppio senso </w:t>
      </w:r>
    </w:p>
    <w:p w14:paraId="10CBDF3F" w14:textId="77777777" w:rsidR="004727E6" w:rsidRPr="0099134E" w:rsidRDefault="004727E6" w:rsidP="004727E6">
      <w:pPr>
        <w:pStyle w:val="Listenabsatz"/>
        <w:numPr>
          <w:ilvl w:val="0"/>
          <w:numId w:val="1"/>
        </w:numPr>
      </w:pPr>
      <w:r>
        <w:t>tentativi di avvicinamento con prospettive di vantaggi o conseguenze negative (coercizione o ricatto)</w:t>
      </w:r>
    </w:p>
    <w:p w14:paraId="78402B8E" w14:textId="77777777" w:rsidR="004727E6" w:rsidRPr="0099134E" w:rsidRDefault="004727E6" w:rsidP="004727E6">
      <w:pPr>
        <w:pStyle w:val="Listenabsatz"/>
        <w:numPr>
          <w:ilvl w:val="0"/>
          <w:numId w:val="1"/>
        </w:numPr>
      </w:pPr>
      <w:r>
        <w:t>contatti fisici fastidiosi (aggressioni sessuali)</w:t>
      </w:r>
    </w:p>
    <w:p w14:paraId="50D3E537" w14:textId="77777777" w:rsidR="004727E6" w:rsidRPr="0099134E" w:rsidRDefault="004727E6" w:rsidP="004727E6">
      <w:pPr>
        <w:pStyle w:val="Listenabsatz"/>
        <w:numPr>
          <w:ilvl w:val="0"/>
          <w:numId w:val="1"/>
        </w:numPr>
      </w:pPr>
      <w:r>
        <w:t>stupro</w:t>
      </w:r>
    </w:p>
    <w:bookmarkEnd w:id="0"/>
    <w:p w14:paraId="6C0D47EB" w14:textId="77777777" w:rsidR="004727E6" w:rsidRPr="0099134E" w:rsidRDefault="00DB6093" w:rsidP="004727E6">
      <w:pPr>
        <w:rPr>
          <w:b/>
        </w:rPr>
      </w:pPr>
      <w:r>
        <w:rPr>
          <w:b/>
        </w:rPr>
        <w:lastRenderedPageBreak/>
        <w:t>4 Flirt, relazioni amorose</w:t>
      </w:r>
    </w:p>
    <w:p w14:paraId="548CF383" w14:textId="77777777" w:rsidR="00DB6093" w:rsidRPr="0099134E" w:rsidRDefault="00DB6093" w:rsidP="00DB6093">
      <w:pPr>
        <w:pStyle w:val="Listenabsatz"/>
        <w:numPr>
          <w:ilvl w:val="0"/>
          <w:numId w:val="5"/>
        </w:numPr>
      </w:pPr>
      <w:r>
        <w:t xml:space="preserve">Esiste una distinzione netta e chiara tra molestie sessuali e flirt o relazione amorosa, che si basa sul mutuo consenso. </w:t>
      </w:r>
    </w:p>
    <w:p w14:paraId="08DBB503" w14:textId="00CCABDE" w:rsidR="00094132" w:rsidRPr="0099134E" w:rsidRDefault="00B52960" w:rsidP="0099134E">
      <w:pPr>
        <w:pStyle w:val="Listenabsatz"/>
        <w:numPr>
          <w:ilvl w:val="0"/>
          <w:numId w:val="5"/>
        </w:numPr>
      </w:pPr>
      <w:r>
        <w:t xml:space="preserve">Le molestie sessuali sono un reato con conseguenze penali. I flirt e le relazioni amorose tra superiori e collaboratrici e collaboratori non sono ammessi. Occorre tener conto del fatto che, di norma, la persona gerarchicamente subordinata non respinge i tentativi di avvicinamento in modo diretto a parole, ma tende a esprimere la sua volontà tramite il linguaggio del corpo. </w:t>
      </w:r>
    </w:p>
    <w:p w14:paraId="6FBBFB7E" w14:textId="6820C446" w:rsidR="00272E0D" w:rsidRPr="0099134E" w:rsidRDefault="00094132" w:rsidP="00DB6093">
      <w:pPr>
        <w:pStyle w:val="Listenabsatz"/>
        <w:numPr>
          <w:ilvl w:val="0"/>
          <w:numId w:val="5"/>
        </w:numPr>
        <w:rPr>
          <w:i/>
          <w:iCs/>
        </w:rPr>
      </w:pPr>
      <w:r>
        <w:rPr>
          <w:highlight w:val="yellow"/>
        </w:rPr>
        <w:t>Nell’azienda / Nell’organizzazione XY</w:t>
      </w:r>
      <w:r>
        <w:t xml:space="preserve"> flirt e relazioni amorose tra persone in formazione e dipendenti con o senza funzioni direttive sono quindi vietati. </w:t>
      </w:r>
    </w:p>
    <w:p w14:paraId="19AC14F3" w14:textId="77777777" w:rsidR="00DB6093" w:rsidRPr="0099134E" w:rsidRDefault="00DB6093" w:rsidP="004727E6">
      <w:pPr>
        <w:rPr>
          <w:b/>
        </w:rPr>
      </w:pPr>
      <w:r>
        <w:rPr>
          <w:b/>
        </w:rPr>
        <w:t xml:space="preserve">Responsabilità dei/delle superiori gerarchici </w:t>
      </w:r>
    </w:p>
    <w:p w14:paraId="79AC71A2" w14:textId="77777777" w:rsidR="00DB6093" w:rsidRPr="0099134E" w:rsidRDefault="00DB6093" w:rsidP="00DB6093">
      <w:pPr>
        <w:pStyle w:val="Listenabsatz"/>
        <w:numPr>
          <w:ilvl w:val="0"/>
          <w:numId w:val="7"/>
        </w:numPr>
      </w:pPr>
      <w:r>
        <w:t>Nella loro sfera di competenza i superiori gerarchici svolgono un ruolo esemplare adottando un comportamento attento e rispettoso.</w:t>
      </w:r>
    </w:p>
    <w:p w14:paraId="67905F5E" w14:textId="77777777" w:rsidR="00DB6093" w:rsidRPr="0099134E" w:rsidRDefault="00DB6093" w:rsidP="00DB6093">
      <w:pPr>
        <w:pStyle w:val="Listenabsatz"/>
        <w:numPr>
          <w:ilvl w:val="0"/>
          <w:numId w:val="7"/>
        </w:numPr>
      </w:pPr>
      <w:r>
        <w:t xml:space="preserve">I/Le superiori garantiscono un clima di lavoro esente da molestie. Identificano le molestie sessuali e intervengono attivamente per impedirle in modo appropriato ai sensi del punto 3. In tale ottica hanno un obbligo di diligenza speciale nei confronti delle persone in formazione. </w:t>
      </w:r>
    </w:p>
    <w:p w14:paraId="28A77B62" w14:textId="77777777" w:rsidR="00DB6093" w:rsidRPr="0099134E" w:rsidRDefault="00DB6093" w:rsidP="00DB6093">
      <w:pPr>
        <w:pStyle w:val="Listenabsatz"/>
        <w:numPr>
          <w:ilvl w:val="0"/>
          <w:numId w:val="7"/>
        </w:numPr>
      </w:pPr>
      <w:r>
        <w:t xml:space="preserve">In presenza di indizi che suggeriscono l’esistenza di molestie sessuali, il/la superiore è tenuto/a ad intervenire tempestivamente. </w:t>
      </w:r>
    </w:p>
    <w:p w14:paraId="3C351719" w14:textId="77777777" w:rsidR="00DB6093" w:rsidRPr="0099134E" w:rsidRDefault="00DB6093" w:rsidP="00DB6093">
      <w:pPr>
        <w:pStyle w:val="Listenabsatz"/>
        <w:numPr>
          <w:ilvl w:val="0"/>
          <w:numId w:val="7"/>
        </w:numPr>
      </w:pPr>
      <w:r>
        <w:t xml:space="preserve">I/Le superiori devono prendere sul serio i reclami relativi a molestie sessuali, dando sostegno alla persona molestata e adottando senza indugio misure adeguate, in collaborazione con quest’ultima e con la persona di fiducia (cfr. punto 7). </w:t>
      </w:r>
    </w:p>
    <w:p w14:paraId="5BC3F245" w14:textId="77777777" w:rsidR="00DB6093" w:rsidRPr="0099134E" w:rsidRDefault="00DB6093" w:rsidP="00DB6093">
      <w:pPr>
        <w:pStyle w:val="Listenabsatz"/>
        <w:numPr>
          <w:ilvl w:val="0"/>
          <w:numId w:val="7"/>
        </w:numPr>
      </w:pPr>
      <w:r>
        <w:t>I/Le superiori separano in modo netto i rapporti professionali e gli eventuali rapporti personali che intrattengono con collaboratrici e collaboratori. È strettamente vietato pronunciare sanzioni disciplinari per raggiungere obiettivi personali e per motivi personali.</w:t>
      </w:r>
    </w:p>
    <w:p w14:paraId="07323941" w14:textId="77777777" w:rsidR="00DB6093" w:rsidRPr="0099134E" w:rsidRDefault="00DB6093" w:rsidP="00DB6093">
      <w:pPr>
        <w:rPr>
          <w:b/>
        </w:rPr>
      </w:pPr>
      <w:r>
        <w:rPr>
          <w:b/>
        </w:rPr>
        <w:t>6 Responsabilità di collaboratrici e collaboratori</w:t>
      </w:r>
    </w:p>
    <w:p w14:paraId="2CCB3394" w14:textId="77777777" w:rsidR="00DB6093" w:rsidRPr="0099134E" w:rsidRDefault="00DB6093" w:rsidP="00031DC0">
      <w:pPr>
        <w:pStyle w:val="Listenabsatz"/>
        <w:numPr>
          <w:ilvl w:val="0"/>
          <w:numId w:val="9"/>
        </w:numPr>
      </w:pPr>
      <w:r>
        <w:rPr>
          <w:highlight w:val="yellow"/>
        </w:rPr>
        <w:t>L'azienda / L’organizzazione XY</w:t>
      </w:r>
      <w:r>
        <w:t xml:space="preserve"> esige da tutte le collaboratrici e tutti i collaboratori il rispetto dei limiti personali fissati dalle colleghe e dai colleghi nell’ambito dei rapporti interpersonali. L’aspetto determinante è dato dal modo in cui il comportamento viene percepito dalle colleghe e dai colleghi. </w:t>
      </w:r>
    </w:p>
    <w:p w14:paraId="0A867AC1" w14:textId="049B674D" w:rsidR="00DB6093" w:rsidRPr="0099134E" w:rsidRDefault="00031DC0" w:rsidP="00031DC0">
      <w:pPr>
        <w:pStyle w:val="Listenabsatz"/>
        <w:numPr>
          <w:ilvl w:val="0"/>
          <w:numId w:val="9"/>
        </w:numPr>
      </w:pPr>
      <w:r>
        <w:t xml:space="preserve">Le collaboratrici e i collaboratori che si sentono vittima di un caso di molestia sessuale sono esortati ed espressamente autorizzati a comunicare con la massima chiarezza alle persone che li molestano che non tollerano il loro comportamento. All’occorrenza possono richiedere il sostegno di una persona di fiducia. </w:t>
      </w:r>
      <w:r>
        <w:rPr>
          <w:highlight w:val="yellow"/>
        </w:rPr>
        <w:t>L'azienda / L’organizzazione XY</w:t>
      </w:r>
      <w:r>
        <w:t xml:space="preserve"> invita con la massima urgenza le persone che hanno paura a difendersi a rivolgersi alle persone di fiducia. </w:t>
      </w:r>
    </w:p>
    <w:p w14:paraId="641FE440" w14:textId="063D6C36" w:rsidR="00094132" w:rsidRPr="0099134E" w:rsidRDefault="00A708EB" w:rsidP="00031DC0">
      <w:pPr>
        <w:pStyle w:val="Listenabsatz"/>
        <w:numPr>
          <w:ilvl w:val="0"/>
          <w:numId w:val="9"/>
        </w:numPr>
      </w:pPr>
      <w:r>
        <w:t>Le collaboratrici e i collaboratori che notano casi di molestie contro terze persone, sono espressamente invitat</w:t>
      </w:r>
      <w:r w:rsidR="00964447">
        <w:t>i</w:t>
      </w:r>
      <w:r>
        <w:t xml:space="preserve"> a far presente alle persone molestatrici che simili comportamenti sono inammissibili. Devono inoltre fornire il loro sostegno alla persona molestata, p.es. raccomandando a quest’ultima di rivolgersi a una persona </w:t>
      </w:r>
      <w:r w:rsidR="00964447">
        <w:t>d</w:t>
      </w:r>
      <w:r>
        <w:t xml:space="preserve">i fiducia. </w:t>
      </w:r>
    </w:p>
    <w:p w14:paraId="3684568C" w14:textId="77777777" w:rsidR="00A25002" w:rsidRPr="0099134E" w:rsidRDefault="00A25002" w:rsidP="00A25002">
      <w:pPr>
        <w:pStyle w:val="Listenabsatz"/>
        <w:numPr>
          <w:ilvl w:val="0"/>
          <w:numId w:val="9"/>
        </w:numPr>
      </w:pPr>
      <w:r>
        <w:t xml:space="preserve">Se le collaboratrici e i collaboratori temono d’intervenire in prima persona, sono tenuti/e a comunicare le loro osservazioni ai/alle loro superiori o a rivolgersi alle persone di fiducia. </w:t>
      </w:r>
    </w:p>
    <w:p w14:paraId="0DF916E6" w14:textId="72458CBB" w:rsidR="00A708EB" w:rsidRPr="0099134E" w:rsidRDefault="00094132" w:rsidP="00031DC0">
      <w:pPr>
        <w:pStyle w:val="Listenabsatz"/>
        <w:numPr>
          <w:ilvl w:val="0"/>
          <w:numId w:val="9"/>
        </w:numPr>
      </w:pPr>
      <w:r>
        <w:lastRenderedPageBreak/>
        <w:t xml:space="preserve">Se collaboratrici e collaboratori assistono a molestie nei confronti di persone in formazione, devono coinvolgere tempestivamente una persona di fiducia o un/a superiore e solo successivamente richiamare l'attenzione della persona molestatrice sull’illiceità del suo comportamento. </w:t>
      </w:r>
    </w:p>
    <w:p w14:paraId="27F02775" w14:textId="77777777" w:rsidR="00A708EB" w:rsidRPr="0099134E" w:rsidRDefault="00A708EB" w:rsidP="00DB6093">
      <w:pPr>
        <w:rPr>
          <w:b/>
          <w:bCs/>
        </w:rPr>
      </w:pPr>
      <w:r>
        <w:rPr>
          <w:b/>
          <w:bCs/>
        </w:rPr>
        <w:t>7 Persone di fiducia</w:t>
      </w:r>
    </w:p>
    <w:p w14:paraId="43268C4B" w14:textId="26FCF64C" w:rsidR="00A708EB" w:rsidRPr="0099134E" w:rsidRDefault="00A708EB" w:rsidP="00DB6093">
      <w:pPr>
        <w:rPr>
          <w:i/>
        </w:rPr>
      </w:pPr>
      <w:r>
        <w:rPr>
          <w:i/>
          <w:highlight w:val="yellow"/>
        </w:rPr>
        <w:t xml:space="preserve">Esperte ed esperti di servizi esterni di consulenza in materia di molestie sessuali, come ad esempio </w:t>
      </w:r>
      <w:hyperlink r:id="rId6" w:history="1">
        <w:r>
          <w:rPr>
            <w:rStyle w:val="Hyperlink"/>
            <w:i/>
            <w:color w:val="auto"/>
            <w:highlight w:val="yellow"/>
          </w:rPr>
          <w:t>Proitera</w:t>
        </w:r>
      </w:hyperlink>
      <w:r>
        <w:rPr>
          <w:i/>
          <w:highlight w:val="yellow"/>
        </w:rPr>
        <w:t xml:space="preserve">, </w:t>
      </w:r>
      <w:hyperlink r:id="rId7" w:history="1">
        <w:r>
          <w:rPr>
            <w:rStyle w:val="Hyperlink"/>
            <w:i/>
            <w:color w:val="auto"/>
            <w:highlight w:val="yellow"/>
          </w:rPr>
          <w:t>il Servizio Fachstelle Mobbing und Belästigung</w:t>
        </w:r>
      </w:hyperlink>
      <w:r>
        <w:rPr>
          <w:i/>
          <w:highlight w:val="yellow"/>
        </w:rPr>
        <w:t xml:space="preserve"> oppure </w:t>
      </w:r>
      <w:hyperlink r:id="rId8" w:history="1">
        <w:r>
          <w:rPr>
            <w:rStyle w:val="Hyperlink"/>
            <w:i/>
            <w:color w:val="auto"/>
            <w:highlight w:val="yellow"/>
          </w:rPr>
          <w:t>BeTrieb</w:t>
        </w:r>
      </w:hyperlink>
      <w:r>
        <w:rPr>
          <w:i/>
          <w:highlight w:val="yellow"/>
        </w:rPr>
        <w:t>, devono essere designati come persone di fiducia.</w:t>
      </w:r>
      <w:r>
        <w:rPr>
          <w:i/>
        </w:rPr>
        <w:t xml:space="preserve"> </w:t>
      </w:r>
    </w:p>
    <w:p w14:paraId="38E0FC74" w14:textId="13E7499C" w:rsidR="0014769E" w:rsidRPr="0099134E" w:rsidRDefault="0014769E" w:rsidP="00DB6093">
      <w:r>
        <w:t xml:space="preserve">Fungono da persone di fiducia le esperte e gli esperti </w:t>
      </w:r>
      <w:r>
        <w:rPr>
          <w:highlight w:val="yellow"/>
        </w:rPr>
        <w:t>delle organizzazioni elencate in appendice.</w:t>
      </w:r>
      <w:r>
        <w:t xml:space="preserve"> L</w:t>
      </w:r>
      <w:r w:rsidR="00DF0B74">
        <w:t>e</w:t>
      </w:r>
      <w:r>
        <w:t xml:space="preserve"> person</w:t>
      </w:r>
      <w:r w:rsidR="00DF0B74">
        <w:t xml:space="preserve">e </w:t>
      </w:r>
      <w:r>
        <w:t>di fiducia sottost</w:t>
      </w:r>
      <w:r w:rsidR="00DF0B74">
        <w:t>anno</w:t>
      </w:r>
      <w:r>
        <w:t xml:space="preserve"> al segreto. </w:t>
      </w:r>
    </w:p>
    <w:p w14:paraId="2A41B480" w14:textId="49E9B36B" w:rsidR="0014769E" w:rsidRPr="0099134E" w:rsidRDefault="0014769E" w:rsidP="00DB6093">
      <w:r>
        <w:t>La persona di fiducia ascolta la persona molestata o la persona che ha notato un caso di abuso ai sensi del punto 4, capoverso 3, la consiglia e la sostiene. In particolare è tenuta a raccomandare alla persona molestata l’adozione di misure di difesa concrete e ad illustrarle la procedura formale di ricorso (</w:t>
      </w:r>
      <w:r>
        <w:rPr>
          <w:highlight w:val="yellow"/>
        </w:rPr>
        <w:t>cfr. punto 10</w:t>
      </w:r>
      <w:r>
        <w:t>)</w:t>
      </w:r>
      <w:r w:rsidR="00DF0B74">
        <w:t xml:space="preserve"> nonché</w:t>
      </w:r>
      <w:r>
        <w:t xml:space="preserve"> le possibili azioni di diritto civile e penale con i relativi presupposti e le possibili conseguenze. </w:t>
      </w:r>
    </w:p>
    <w:p w14:paraId="35B65B7B" w14:textId="77777777" w:rsidR="0014769E" w:rsidRPr="0099134E" w:rsidRDefault="0014769E" w:rsidP="00DB6093">
      <w:pPr>
        <w:rPr>
          <w:i/>
        </w:rPr>
      </w:pPr>
      <w:r>
        <w:rPr>
          <w:i/>
          <w:highlight w:val="yellow"/>
        </w:rPr>
        <w:t>Qui deve essere inserita la procedura concreta del servizio di consulenza esterno.</w:t>
      </w:r>
      <w:r>
        <w:rPr>
          <w:i/>
        </w:rPr>
        <w:t xml:space="preserve"> </w:t>
      </w:r>
    </w:p>
    <w:p w14:paraId="2FE05460" w14:textId="7D66019F" w:rsidR="00E506CD" w:rsidRPr="0099134E" w:rsidRDefault="00E506CD" w:rsidP="00DB6093">
      <w:pPr>
        <w:rPr>
          <w:b/>
          <w:bCs/>
          <w:iCs/>
        </w:rPr>
      </w:pPr>
      <w:r>
        <w:rPr>
          <w:b/>
          <w:bCs/>
          <w:iCs/>
        </w:rPr>
        <w:t xml:space="preserve">8 Commissione di ricorso / notifica all’ufficio della formazione professionale </w:t>
      </w:r>
    </w:p>
    <w:p w14:paraId="4C11C6C8" w14:textId="77777777" w:rsidR="00E506CD" w:rsidRPr="0099134E" w:rsidRDefault="00E506CD" w:rsidP="00DB6093">
      <w:pPr>
        <w:rPr>
          <w:iCs/>
        </w:rPr>
      </w:pPr>
      <w:r>
        <w:t xml:space="preserve">I seguenti organi possono fungere da Commissione di ricorso: </w:t>
      </w:r>
    </w:p>
    <w:p w14:paraId="6103D3AD" w14:textId="77777777" w:rsidR="00E506CD" w:rsidRPr="0099134E" w:rsidRDefault="00E506CD" w:rsidP="00E506CD">
      <w:pPr>
        <w:pStyle w:val="Listenabsatz"/>
        <w:numPr>
          <w:ilvl w:val="0"/>
          <w:numId w:val="1"/>
        </w:numPr>
        <w:rPr>
          <w:iCs/>
        </w:rPr>
      </w:pPr>
      <w:r>
        <w:t>commissione ad hoc esterna formata da specialisti (avvocati, psicologi)</w:t>
      </w:r>
    </w:p>
    <w:p w14:paraId="6ADC78B3" w14:textId="77777777" w:rsidR="00E506CD" w:rsidRPr="0099134E" w:rsidRDefault="00E506CD" w:rsidP="00E506CD">
      <w:pPr>
        <w:pStyle w:val="Listenabsatz"/>
        <w:numPr>
          <w:ilvl w:val="0"/>
          <w:numId w:val="1"/>
        </w:numPr>
        <w:rPr>
          <w:i/>
          <w:highlight w:val="yellow"/>
        </w:rPr>
      </w:pPr>
      <w:r>
        <w:rPr>
          <w:i/>
          <w:highlight w:val="yellow"/>
        </w:rPr>
        <w:t>i servizi di consulenza esterni elencati in appendice</w:t>
      </w:r>
    </w:p>
    <w:p w14:paraId="270F579A" w14:textId="4D593EC0" w:rsidR="00E506CD" w:rsidRPr="0099134E" w:rsidRDefault="00E506CD" w:rsidP="00E506CD">
      <w:pPr>
        <w:rPr>
          <w:iCs/>
        </w:rPr>
      </w:pPr>
      <w:r>
        <w:rPr>
          <w:iCs/>
          <w:highlight w:val="yellow"/>
        </w:rPr>
        <w:t>L’organo direttivo competente</w:t>
      </w:r>
      <w:r>
        <w:t xml:space="preserve"> designa nel caso concreto la Commissione di ricorso. La Commissione di ricorso fissa autonomamente la propria organizzazione. </w:t>
      </w:r>
    </w:p>
    <w:p w14:paraId="73C92DAE" w14:textId="3043CDE9" w:rsidR="00C03B12" w:rsidRPr="0099134E" w:rsidRDefault="00C03B12" w:rsidP="00E506CD">
      <w:pPr>
        <w:rPr>
          <w:iCs/>
        </w:rPr>
      </w:pPr>
      <w:r>
        <w:t>Le persone in formazione possono trasmettere / far trasmettere una notifica all’ufficio della formazione professionale.</w:t>
      </w:r>
    </w:p>
    <w:p w14:paraId="43E137C6" w14:textId="77777777" w:rsidR="00C03B12" w:rsidRPr="0099134E" w:rsidRDefault="00C03B12" w:rsidP="00E506CD">
      <w:pPr>
        <w:rPr>
          <w:iCs/>
        </w:rPr>
      </w:pPr>
    </w:p>
    <w:p w14:paraId="12A06A11" w14:textId="77777777" w:rsidR="0014769E" w:rsidRPr="0099134E" w:rsidRDefault="00E506CD" w:rsidP="00DB6093">
      <w:pPr>
        <w:rPr>
          <w:b/>
        </w:rPr>
      </w:pPr>
      <w:r>
        <w:rPr>
          <w:b/>
        </w:rPr>
        <w:t xml:space="preserve">9 Procedura formale di ricorso </w:t>
      </w:r>
    </w:p>
    <w:p w14:paraId="2F11CDB7" w14:textId="77777777" w:rsidR="00B94480" w:rsidRPr="0099134E" w:rsidRDefault="00E506CD" w:rsidP="00DB6093">
      <w:pPr>
        <w:rPr>
          <w:b/>
        </w:rPr>
      </w:pPr>
      <w:r>
        <w:rPr>
          <w:b/>
        </w:rPr>
        <w:t>9.1 Apertura della procedura</w:t>
      </w:r>
    </w:p>
    <w:p w14:paraId="590DC084" w14:textId="77777777" w:rsidR="0014769E" w:rsidRPr="0099134E" w:rsidRDefault="0014769E" w:rsidP="00DB6093">
      <w:r>
        <w:t>L’apertura di una procedura formale di ricorso può essere richiesta da una persona vittima di molestie sessuali o da una persona accusata di aver messo in atto un simile comportamento.</w:t>
      </w:r>
    </w:p>
    <w:p w14:paraId="7F9F7C63" w14:textId="1783B8B3" w:rsidR="0014769E" w:rsidRPr="0099134E" w:rsidRDefault="0014769E" w:rsidP="00DB6093">
      <w:r>
        <w:t xml:space="preserve">I ricorsi devono essere presentati per iscritto o oralmente e in tal caso </w:t>
      </w:r>
      <w:r w:rsidR="00DF0B74">
        <w:t xml:space="preserve">essere </w:t>
      </w:r>
      <w:r>
        <w:t xml:space="preserve">trascritti presso: </w:t>
      </w:r>
    </w:p>
    <w:p w14:paraId="2473EC82" w14:textId="77777777" w:rsidR="0014769E" w:rsidRPr="0099134E" w:rsidRDefault="0014769E" w:rsidP="0014769E">
      <w:pPr>
        <w:pStyle w:val="Listenabsatz"/>
        <w:numPr>
          <w:ilvl w:val="0"/>
          <w:numId w:val="1"/>
        </w:numPr>
      </w:pPr>
      <w:r>
        <w:t>una delle persone di fiducia elencate in appendice</w:t>
      </w:r>
    </w:p>
    <w:p w14:paraId="0E450B86" w14:textId="77777777" w:rsidR="0014769E" w:rsidRPr="0099134E" w:rsidRDefault="0014769E" w:rsidP="0014769E">
      <w:pPr>
        <w:pStyle w:val="Listenabsatz"/>
        <w:numPr>
          <w:ilvl w:val="0"/>
          <w:numId w:val="1"/>
        </w:numPr>
      </w:pPr>
      <w:r>
        <w:t xml:space="preserve">la direzione o la direzione del personale </w:t>
      </w:r>
      <w:r>
        <w:rPr>
          <w:i/>
          <w:highlight w:val="yellow"/>
        </w:rPr>
        <w:t>della filiale, della succursale ecc.</w:t>
      </w:r>
      <w:r>
        <w:rPr>
          <w:i/>
        </w:rPr>
        <w:t xml:space="preserve"> </w:t>
      </w:r>
    </w:p>
    <w:p w14:paraId="09D7D46C" w14:textId="77777777" w:rsidR="00B94480" w:rsidRPr="0099134E" w:rsidRDefault="00B94480" w:rsidP="0014769E">
      <w:pPr>
        <w:pStyle w:val="Listenabsatz"/>
        <w:numPr>
          <w:ilvl w:val="0"/>
          <w:numId w:val="1"/>
        </w:numPr>
      </w:pPr>
      <w:r>
        <w:t xml:space="preserve">il o la superiore gerarchico/a </w:t>
      </w:r>
    </w:p>
    <w:p w14:paraId="37FCE450" w14:textId="77777777" w:rsidR="00B94480" w:rsidRPr="0099134E" w:rsidRDefault="00E506CD" w:rsidP="0014769E">
      <w:pPr>
        <w:pStyle w:val="Listenabsatz"/>
        <w:numPr>
          <w:ilvl w:val="0"/>
          <w:numId w:val="1"/>
        </w:numPr>
        <w:rPr>
          <w:i/>
          <w:highlight w:val="yellow"/>
        </w:rPr>
      </w:pPr>
      <w:r>
        <w:rPr>
          <w:i/>
          <w:highlight w:val="yellow"/>
        </w:rPr>
        <w:t xml:space="preserve">un altro organo direttivo competente </w:t>
      </w:r>
    </w:p>
    <w:p w14:paraId="7BCFA9ED" w14:textId="5C8D4D5C" w:rsidR="00B94480" w:rsidRPr="0099134E" w:rsidRDefault="00B94480" w:rsidP="00B94480">
      <w:r>
        <w:t xml:space="preserve">La persona contattata informa tempestivamente la direzione del personale competente per il caso concreto, a meno che il ricorso non sia stato ricevuto </w:t>
      </w:r>
      <w:r w:rsidR="00DF0B74">
        <w:t xml:space="preserve">direttamente </w:t>
      </w:r>
      <w:r>
        <w:t xml:space="preserve">da quest’ultima. </w:t>
      </w:r>
    </w:p>
    <w:p w14:paraId="68B6D345" w14:textId="77777777" w:rsidR="00B94480" w:rsidRPr="0099134E" w:rsidRDefault="00B94480" w:rsidP="00B94480">
      <w:r>
        <w:lastRenderedPageBreak/>
        <w:t xml:space="preserve">Tutte le persone informate sottostanno al segreto nei confronti di terzi. </w:t>
      </w:r>
    </w:p>
    <w:p w14:paraId="48D3E6BE" w14:textId="77777777" w:rsidR="00B94480" w:rsidRPr="0099134E" w:rsidRDefault="00B94480" w:rsidP="00B94480">
      <w:r>
        <w:t xml:space="preserve">Qualora al momento della presentazione della domanda il rapporto di lavoro con </w:t>
      </w:r>
      <w:r>
        <w:rPr>
          <w:highlight w:val="yellow"/>
        </w:rPr>
        <w:t>l'azienda / l’organizzazione XY</w:t>
      </w:r>
      <w:r>
        <w:t xml:space="preserve"> non sia più in essere, ma durante il rapporto di lavoro abbia comunque avuto luogo una consulenza ai sensi del punto 7 del presente regolamento, il ricorso deve essere esaminato, a condizione che non siano passati più di 3 mesi dallo scioglimento del rapporto di lavoro. </w:t>
      </w:r>
    </w:p>
    <w:p w14:paraId="0447D75A" w14:textId="77777777" w:rsidR="00B94480" w:rsidRPr="0099134E" w:rsidRDefault="00E506CD" w:rsidP="0013215C">
      <w:pPr>
        <w:tabs>
          <w:tab w:val="left" w:pos="3820"/>
        </w:tabs>
        <w:rPr>
          <w:b/>
        </w:rPr>
      </w:pPr>
      <w:r>
        <w:rPr>
          <w:b/>
        </w:rPr>
        <w:t>Misure preventive</w:t>
      </w:r>
      <w:r>
        <w:rPr>
          <w:b/>
        </w:rPr>
        <w:tab/>
      </w:r>
    </w:p>
    <w:p w14:paraId="531D4061" w14:textId="77777777" w:rsidR="00031DC0" w:rsidRPr="0099134E" w:rsidRDefault="0013215C" w:rsidP="0013215C">
      <w:pPr>
        <w:pStyle w:val="Listenabsatz"/>
        <w:numPr>
          <w:ilvl w:val="0"/>
          <w:numId w:val="8"/>
        </w:numPr>
        <w:tabs>
          <w:tab w:val="left" w:pos="3820"/>
        </w:tabs>
        <w:rPr>
          <w:bCs/>
        </w:rPr>
      </w:pPr>
      <w:r>
        <w:t xml:space="preserve">Le misure preventive mirano a prevenire ogni danno ulteriore o supplementare e a preservare la possibilità di mantenere i rapporti di lavoro in essere con la persona vittima della molestia e la persona accusata, p.es. tramite un trasferimento provvisorio, un congedo provvisorio o la possibilità di effettuare temporaneamente il telelavoro. </w:t>
      </w:r>
    </w:p>
    <w:p w14:paraId="243BBB48" w14:textId="40073D4D" w:rsidR="00031DC0" w:rsidRPr="0099134E" w:rsidRDefault="002C40CE" w:rsidP="0013215C">
      <w:pPr>
        <w:pStyle w:val="Listenabsatz"/>
        <w:numPr>
          <w:ilvl w:val="0"/>
          <w:numId w:val="8"/>
        </w:numPr>
        <w:tabs>
          <w:tab w:val="left" w:pos="3820"/>
        </w:tabs>
        <w:rPr>
          <w:bCs/>
        </w:rPr>
      </w:pPr>
      <w:r>
        <w:t xml:space="preserve">Le misure devono pertanto sempre essere pronunciate nei confronti di entrambe le parti. Se la parte molestata è in formazione, non dovrebbe essere oggetto di alcuna misura per non vanificare lo scopo della formazione. </w:t>
      </w:r>
    </w:p>
    <w:p w14:paraId="228C7E2B" w14:textId="77777777" w:rsidR="00031DC0" w:rsidRPr="0099134E" w:rsidRDefault="002C40CE" w:rsidP="0013215C">
      <w:pPr>
        <w:pStyle w:val="Listenabsatz"/>
        <w:numPr>
          <w:ilvl w:val="0"/>
          <w:numId w:val="8"/>
        </w:numPr>
        <w:tabs>
          <w:tab w:val="left" w:pos="3820"/>
        </w:tabs>
        <w:rPr>
          <w:bCs/>
        </w:rPr>
      </w:pPr>
      <w:r>
        <w:t xml:space="preserve">La direzione del personale competente verifica tempestivamente l’opportunità di adottare misure in tal senso per la persona molestata e la persona accusata e adotta provvedimenti adeguati. Comunica la sua decisione alla Commissione di ricorso. </w:t>
      </w:r>
    </w:p>
    <w:p w14:paraId="02D0F644" w14:textId="77777777" w:rsidR="002C40CE" w:rsidRPr="0099134E" w:rsidRDefault="002C40CE" w:rsidP="0013215C">
      <w:pPr>
        <w:pStyle w:val="Listenabsatz"/>
        <w:numPr>
          <w:ilvl w:val="0"/>
          <w:numId w:val="8"/>
        </w:numPr>
        <w:tabs>
          <w:tab w:val="left" w:pos="3820"/>
        </w:tabs>
        <w:rPr>
          <w:bCs/>
        </w:rPr>
      </w:pPr>
      <w:r>
        <w:t xml:space="preserve">Su raccomandazione della Commissione di ricorso, è possibile adottare misure nuove oppure modificare o annullare misure già in essere. </w:t>
      </w:r>
    </w:p>
    <w:p w14:paraId="25843C7C" w14:textId="77777777" w:rsidR="002C40CE" w:rsidRPr="0099134E" w:rsidRDefault="00E506CD" w:rsidP="0013215C">
      <w:pPr>
        <w:tabs>
          <w:tab w:val="left" w:pos="3820"/>
        </w:tabs>
        <w:rPr>
          <w:b/>
        </w:rPr>
      </w:pPr>
      <w:r>
        <w:rPr>
          <w:b/>
        </w:rPr>
        <w:t>9.3 Esecuzione</w:t>
      </w:r>
    </w:p>
    <w:p w14:paraId="5D113A36" w14:textId="77777777" w:rsidR="00E506CD" w:rsidRPr="0099134E" w:rsidRDefault="002C40CE" w:rsidP="00E506CD">
      <w:pPr>
        <w:pStyle w:val="Listenabsatz"/>
        <w:numPr>
          <w:ilvl w:val="0"/>
          <w:numId w:val="10"/>
        </w:numPr>
        <w:tabs>
          <w:tab w:val="left" w:pos="3820"/>
        </w:tabs>
        <w:rPr>
          <w:bCs/>
        </w:rPr>
      </w:pPr>
      <w:r>
        <w:t xml:space="preserve">La commissione interroga la persona vittima della molestia e la persona accusata nonché eventuali testimoni. Onde garantire un rapido trattamento del caso, le dichiarazioni vengono registrate e messe a verbale. La firma non è necessaria. </w:t>
      </w:r>
    </w:p>
    <w:p w14:paraId="78F3204D" w14:textId="77777777" w:rsidR="002C40CE" w:rsidRPr="0099134E" w:rsidRDefault="002C40CE" w:rsidP="00031DC0">
      <w:pPr>
        <w:pStyle w:val="Listenabsatz"/>
        <w:numPr>
          <w:ilvl w:val="0"/>
          <w:numId w:val="10"/>
        </w:numPr>
        <w:tabs>
          <w:tab w:val="left" w:pos="3820"/>
        </w:tabs>
        <w:rPr>
          <w:bCs/>
        </w:rPr>
      </w:pPr>
      <w:r>
        <w:t xml:space="preserve">La commissione può anche raccogliere prove. </w:t>
      </w:r>
    </w:p>
    <w:p w14:paraId="222B1F63" w14:textId="77777777" w:rsidR="002C40CE" w:rsidRPr="0099134E" w:rsidRDefault="002C40CE" w:rsidP="00031DC0">
      <w:pPr>
        <w:pStyle w:val="Listenabsatz"/>
        <w:numPr>
          <w:ilvl w:val="0"/>
          <w:numId w:val="10"/>
        </w:numPr>
        <w:tabs>
          <w:tab w:val="left" w:pos="3820"/>
        </w:tabs>
        <w:rPr>
          <w:bCs/>
        </w:rPr>
      </w:pPr>
      <w:r>
        <w:t xml:space="preserve">Le indagini devono essere effettuate con la massima tempestività, possibilmente entro dieci settimane. Al termine delle indagini la commissione sottopone il risultato e le proprie proposte </w:t>
      </w:r>
      <w:r>
        <w:rPr>
          <w:bCs/>
          <w:highlight w:val="yellow"/>
        </w:rPr>
        <w:t>al/alla dirigente competente.</w:t>
      </w:r>
      <w:r>
        <w:t xml:space="preserve"> Dopo aver sentito il parere della commissione, </w:t>
      </w:r>
      <w:r>
        <w:rPr>
          <w:bCs/>
          <w:highlight w:val="yellow"/>
        </w:rPr>
        <w:t>quest’ultimo/a</w:t>
      </w:r>
      <w:r>
        <w:t xml:space="preserve"> si pronuncia nelle quattro settimane successive. </w:t>
      </w:r>
    </w:p>
    <w:p w14:paraId="6B5FE4B7" w14:textId="77777777" w:rsidR="002C40CE" w:rsidRPr="0099134E" w:rsidRDefault="00E506CD" w:rsidP="0013215C">
      <w:pPr>
        <w:tabs>
          <w:tab w:val="left" w:pos="3820"/>
        </w:tabs>
        <w:rPr>
          <w:b/>
        </w:rPr>
      </w:pPr>
      <w:r>
        <w:rPr>
          <w:b/>
        </w:rPr>
        <w:t>9.4 Diritti delle parti coinvolte nella procedura</w:t>
      </w:r>
    </w:p>
    <w:p w14:paraId="58D632D2" w14:textId="77777777" w:rsidR="002C40CE" w:rsidRPr="0099134E" w:rsidRDefault="003B5BF6" w:rsidP="00031DC0">
      <w:pPr>
        <w:pStyle w:val="Listenabsatz"/>
        <w:numPr>
          <w:ilvl w:val="0"/>
          <w:numId w:val="11"/>
        </w:numPr>
        <w:tabs>
          <w:tab w:val="left" w:pos="3820"/>
        </w:tabs>
        <w:rPr>
          <w:bCs/>
        </w:rPr>
      </w:pPr>
      <w:r>
        <w:t xml:space="preserve">Le parti vengono interrogate individualmente. </w:t>
      </w:r>
    </w:p>
    <w:p w14:paraId="2C688353" w14:textId="77777777" w:rsidR="003B5BF6" w:rsidRPr="0099134E" w:rsidRDefault="003B5BF6" w:rsidP="00031DC0">
      <w:pPr>
        <w:pStyle w:val="Listenabsatz"/>
        <w:numPr>
          <w:ilvl w:val="0"/>
          <w:numId w:val="11"/>
        </w:numPr>
        <w:tabs>
          <w:tab w:val="left" w:pos="3820"/>
        </w:tabs>
        <w:rPr>
          <w:bCs/>
        </w:rPr>
      </w:pPr>
      <w:r>
        <w:t xml:space="preserve">Entrambe le parti hanno il diritto di farsi accompagnare da una persona di loro scelta (un/una collega di lavoro, un/una familiare o un/una conoscente). </w:t>
      </w:r>
    </w:p>
    <w:p w14:paraId="4082C33F" w14:textId="343F377E" w:rsidR="00E506CD" w:rsidRPr="0099134E" w:rsidRDefault="00E506CD" w:rsidP="00E506CD">
      <w:pPr>
        <w:pStyle w:val="Listenabsatz"/>
        <w:numPr>
          <w:ilvl w:val="0"/>
          <w:numId w:val="11"/>
        </w:numPr>
        <w:tabs>
          <w:tab w:val="left" w:pos="3820"/>
        </w:tabs>
        <w:rPr>
          <w:bCs/>
        </w:rPr>
      </w:pPr>
      <w:r>
        <w:t xml:space="preserve">Una persona in formazione non ancora maggiorenne deve essere accompagnata da una persona adulta ad essa vicina. </w:t>
      </w:r>
    </w:p>
    <w:p w14:paraId="78409A10" w14:textId="172FDAC4" w:rsidR="00C03B12" w:rsidRPr="0099134E" w:rsidRDefault="00C03B12" w:rsidP="00E506CD">
      <w:pPr>
        <w:pStyle w:val="Listenabsatz"/>
        <w:numPr>
          <w:ilvl w:val="0"/>
          <w:numId w:val="11"/>
        </w:numPr>
        <w:tabs>
          <w:tab w:val="left" w:pos="3820"/>
        </w:tabs>
        <w:rPr>
          <w:bCs/>
        </w:rPr>
      </w:pPr>
      <w:r>
        <w:t xml:space="preserve">Le persone in formazione possono inoltre essere licenziate solo previo accordo con l’ufficio della formazione professionale. </w:t>
      </w:r>
    </w:p>
    <w:p w14:paraId="73891549" w14:textId="6EA17734" w:rsidR="003B5BF6" w:rsidRPr="0099134E" w:rsidRDefault="003B5BF6" w:rsidP="00031DC0">
      <w:pPr>
        <w:pStyle w:val="Listenabsatz"/>
        <w:numPr>
          <w:ilvl w:val="0"/>
          <w:numId w:val="11"/>
        </w:numPr>
        <w:tabs>
          <w:tab w:val="left" w:pos="3820"/>
        </w:tabs>
        <w:rPr>
          <w:bCs/>
        </w:rPr>
      </w:pPr>
      <w:r>
        <w:t xml:space="preserve">Nel corso delle indagini e nei sei mesi successivi le parti coinvolte nella procedura non possono essere licenziate. Non possono altresì essere penalizzate in alcun modo sotto il profilo professionale. </w:t>
      </w:r>
    </w:p>
    <w:p w14:paraId="6D0283B5" w14:textId="2F867ADC" w:rsidR="003B5BF6" w:rsidRPr="0099134E" w:rsidRDefault="003B5BF6" w:rsidP="00031DC0">
      <w:pPr>
        <w:pStyle w:val="Listenabsatz"/>
        <w:numPr>
          <w:ilvl w:val="0"/>
          <w:numId w:val="11"/>
        </w:numPr>
        <w:tabs>
          <w:tab w:val="left" w:pos="3820"/>
        </w:tabs>
        <w:rPr>
          <w:bCs/>
        </w:rPr>
      </w:pPr>
      <w:r>
        <w:t xml:space="preserve">Sono fatte salve le sanzioni pronunciate in virtù dei risultati delle indagini condotte nel quadro della procedura come ad esempio un licenziamento per giusta causa. </w:t>
      </w:r>
    </w:p>
    <w:p w14:paraId="1483B011" w14:textId="77777777" w:rsidR="003B5BF6" w:rsidRPr="0099134E" w:rsidRDefault="00E506CD" w:rsidP="0013215C">
      <w:pPr>
        <w:tabs>
          <w:tab w:val="left" w:pos="3820"/>
        </w:tabs>
        <w:rPr>
          <w:b/>
        </w:rPr>
      </w:pPr>
      <w:r>
        <w:rPr>
          <w:b/>
        </w:rPr>
        <w:t>10 Sanzioni</w:t>
      </w:r>
    </w:p>
    <w:p w14:paraId="1B0632A7" w14:textId="77777777" w:rsidR="003B5BF6" w:rsidRPr="0099134E" w:rsidRDefault="00E506CD" w:rsidP="0013215C">
      <w:pPr>
        <w:tabs>
          <w:tab w:val="left" w:pos="3820"/>
        </w:tabs>
        <w:rPr>
          <w:b/>
        </w:rPr>
      </w:pPr>
      <w:r>
        <w:rPr>
          <w:b/>
        </w:rPr>
        <w:lastRenderedPageBreak/>
        <w:t>10.1 Principio</w:t>
      </w:r>
    </w:p>
    <w:p w14:paraId="57D1E62A" w14:textId="77777777" w:rsidR="003B5BF6" w:rsidRPr="0099134E" w:rsidRDefault="003B5BF6" w:rsidP="0013215C">
      <w:pPr>
        <w:tabs>
          <w:tab w:val="left" w:pos="3820"/>
        </w:tabs>
        <w:rPr>
          <w:bCs/>
        </w:rPr>
      </w:pPr>
      <w:r>
        <w:t xml:space="preserve">Le sanzioni devono esser conformi alla legge, al contratto e ai restanti regolamenti. </w:t>
      </w:r>
    </w:p>
    <w:p w14:paraId="2A77CDA0" w14:textId="77777777" w:rsidR="00031DC0" w:rsidRPr="0099134E" w:rsidRDefault="00E506CD" w:rsidP="0013215C">
      <w:pPr>
        <w:tabs>
          <w:tab w:val="left" w:pos="3820"/>
        </w:tabs>
        <w:rPr>
          <w:b/>
        </w:rPr>
      </w:pPr>
      <w:r>
        <w:rPr>
          <w:b/>
        </w:rPr>
        <w:t>10.2 Sanzioni nei confronti della persona molestatrice</w:t>
      </w:r>
    </w:p>
    <w:p w14:paraId="511829F9" w14:textId="552420C3" w:rsidR="00031DC0" w:rsidRPr="0099134E" w:rsidRDefault="00031DC0" w:rsidP="0013215C">
      <w:pPr>
        <w:tabs>
          <w:tab w:val="left" w:pos="3820"/>
        </w:tabs>
      </w:pPr>
      <w:r>
        <w:t xml:space="preserve">A prescindere dalle eventuali procedure formali di ricorso e a seconda della gravità del comportamento, contro la persona molestatrice vengono pronunciate le seguenti sanzioni: </w:t>
      </w:r>
    </w:p>
    <w:p w14:paraId="270F0DCD" w14:textId="77777777" w:rsidR="00031DC0" w:rsidRPr="0099134E" w:rsidRDefault="00031DC0" w:rsidP="00031DC0">
      <w:pPr>
        <w:pStyle w:val="Listenabsatz"/>
        <w:numPr>
          <w:ilvl w:val="0"/>
          <w:numId w:val="1"/>
        </w:numPr>
        <w:tabs>
          <w:tab w:val="left" w:pos="3820"/>
        </w:tabs>
      </w:pPr>
      <w:r>
        <w:t>ordine di presentare scuse scritte alla persona molestata</w:t>
      </w:r>
    </w:p>
    <w:p w14:paraId="07912ADF" w14:textId="77777777" w:rsidR="00031DC0" w:rsidRPr="0099134E" w:rsidRDefault="00031DC0" w:rsidP="00031DC0">
      <w:pPr>
        <w:pStyle w:val="Listenabsatz"/>
        <w:numPr>
          <w:ilvl w:val="0"/>
          <w:numId w:val="1"/>
        </w:numPr>
        <w:tabs>
          <w:tab w:val="left" w:pos="3820"/>
        </w:tabs>
      </w:pPr>
      <w:r>
        <w:t>richiamo</w:t>
      </w:r>
    </w:p>
    <w:p w14:paraId="672665BB" w14:textId="77777777" w:rsidR="00031DC0" w:rsidRPr="0099134E" w:rsidRDefault="00031DC0" w:rsidP="00031DC0">
      <w:pPr>
        <w:pStyle w:val="Listenabsatz"/>
        <w:numPr>
          <w:ilvl w:val="0"/>
          <w:numId w:val="1"/>
        </w:numPr>
        <w:tabs>
          <w:tab w:val="left" w:pos="3820"/>
        </w:tabs>
      </w:pPr>
      <w:r>
        <w:t>ammonimento</w:t>
      </w:r>
    </w:p>
    <w:p w14:paraId="4719A407" w14:textId="77777777" w:rsidR="00031DC0" w:rsidRPr="0099134E" w:rsidRDefault="00031DC0" w:rsidP="00031DC0">
      <w:pPr>
        <w:pStyle w:val="Listenabsatz"/>
        <w:numPr>
          <w:ilvl w:val="0"/>
          <w:numId w:val="1"/>
        </w:numPr>
        <w:tabs>
          <w:tab w:val="left" w:pos="3820"/>
        </w:tabs>
      </w:pPr>
      <w:r>
        <w:t>ammonimento con minaccia di licenziamento</w:t>
      </w:r>
    </w:p>
    <w:p w14:paraId="3DB68C5E" w14:textId="77777777" w:rsidR="00031DC0" w:rsidRPr="0099134E" w:rsidRDefault="00031DC0" w:rsidP="00031DC0">
      <w:pPr>
        <w:pStyle w:val="Listenabsatz"/>
        <w:numPr>
          <w:ilvl w:val="0"/>
          <w:numId w:val="1"/>
        </w:numPr>
        <w:tabs>
          <w:tab w:val="left" w:pos="3820"/>
        </w:tabs>
      </w:pPr>
      <w:r>
        <w:t>trasferimento</w:t>
      </w:r>
    </w:p>
    <w:p w14:paraId="1F33B43D" w14:textId="77777777" w:rsidR="00031DC0" w:rsidRPr="0099134E" w:rsidRDefault="00031DC0" w:rsidP="00031DC0">
      <w:pPr>
        <w:pStyle w:val="Listenabsatz"/>
        <w:numPr>
          <w:ilvl w:val="0"/>
          <w:numId w:val="1"/>
        </w:numPr>
        <w:tabs>
          <w:tab w:val="left" w:pos="3820"/>
        </w:tabs>
      </w:pPr>
      <w:r>
        <w:t>licenziamento ordinario</w:t>
      </w:r>
    </w:p>
    <w:p w14:paraId="1D964395" w14:textId="77777777" w:rsidR="00031DC0" w:rsidRPr="0099134E" w:rsidRDefault="00031DC0" w:rsidP="00031DC0">
      <w:pPr>
        <w:pStyle w:val="Listenabsatz"/>
        <w:numPr>
          <w:ilvl w:val="0"/>
          <w:numId w:val="1"/>
        </w:numPr>
        <w:tabs>
          <w:tab w:val="left" w:pos="3820"/>
        </w:tabs>
      </w:pPr>
      <w:r>
        <w:t xml:space="preserve">licenziamento con effetto immediato </w:t>
      </w:r>
    </w:p>
    <w:p w14:paraId="28AB602E" w14:textId="77777777" w:rsidR="00031DC0" w:rsidRPr="0099134E" w:rsidRDefault="00031DC0" w:rsidP="00031DC0">
      <w:pPr>
        <w:tabs>
          <w:tab w:val="left" w:pos="3820"/>
        </w:tabs>
      </w:pPr>
      <w:r>
        <w:t xml:space="preserve">Il rapporto di lavoro può essere disdetto in modo ordinario, senza previo ammonimento o ammonimento con minaccia di licenziamento. </w:t>
      </w:r>
    </w:p>
    <w:p w14:paraId="51958F44" w14:textId="77777777" w:rsidR="00031DC0" w:rsidRPr="0099134E" w:rsidRDefault="00031DC0" w:rsidP="00031DC0">
      <w:pPr>
        <w:tabs>
          <w:tab w:val="left" w:pos="3820"/>
        </w:tabs>
      </w:pPr>
      <w:r>
        <w:t xml:space="preserve">Sono fatte salve le azioni civili e penali, in particolare da parte della persona lesa. </w:t>
      </w:r>
    </w:p>
    <w:p w14:paraId="172A2693" w14:textId="77777777" w:rsidR="0099134E" w:rsidRPr="0099134E" w:rsidRDefault="00760AF8" w:rsidP="00031DC0">
      <w:pPr>
        <w:tabs>
          <w:tab w:val="left" w:pos="3820"/>
        </w:tabs>
      </w:pPr>
      <w:r>
        <w:t xml:space="preserve">Dato l’obbligo di diligenza del datore di lavoro, le molestie sessuali nei confronti di persone in formazione sono considerate violazioni particolarmente gravi del presente regolamento. </w:t>
      </w:r>
    </w:p>
    <w:p w14:paraId="7B5E9310" w14:textId="62489FDF" w:rsidR="00031DC0" w:rsidRPr="0099134E" w:rsidRDefault="00E506CD" w:rsidP="00031DC0">
      <w:pPr>
        <w:tabs>
          <w:tab w:val="left" w:pos="3820"/>
        </w:tabs>
        <w:rPr>
          <w:b/>
          <w:bCs/>
        </w:rPr>
      </w:pPr>
      <w:r>
        <w:rPr>
          <w:b/>
          <w:bCs/>
        </w:rPr>
        <w:t>10.3 Sanzioni nei confronti di superiori gerarchici</w:t>
      </w:r>
    </w:p>
    <w:p w14:paraId="763CBB67" w14:textId="56DB8D4A" w:rsidR="00031DC0" w:rsidRPr="0099134E" w:rsidRDefault="00031DC0" w:rsidP="00031DC0">
      <w:pPr>
        <w:tabs>
          <w:tab w:val="left" w:pos="3820"/>
        </w:tabs>
      </w:pPr>
      <w:r>
        <w:t xml:space="preserve">Per i/le superiori trovano </w:t>
      </w:r>
      <w:r w:rsidR="006E4DBF">
        <w:t xml:space="preserve">applicazione </w:t>
      </w:r>
      <w:r>
        <w:t xml:space="preserve">criteri più severi per tenere conto della loro maggiore responsabilità e dei danni potenziali più elevati per </w:t>
      </w:r>
      <w:r>
        <w:rPr>
          <w:highlight w:val="yellow"/>
        </w:rPr>
        <w:t>l'azienda / l’organizzazione XY</w:t>
      </w:r>
      <w:r>
        <w:t xml:space="preserve">. </w:t>
      </w:r>
    </w:p>
    <w:p w14:paraId="12EE6285" w14:textId="170AC061" w:rsidR="00760AF8" w:rsidRPr="0099134E" w:rsidRDefault="00760AF8" w:rsidP="00031DC0">
      <w:pPr>
        <w:tabs>
          <w:tab w:val="left" w:pos="3820"/>
        </w:tabs>
      </w:pPr>
      <w:r>
        <w:t xml:space="preserve">La stessa considerazione vale espressamente </w:t>
      </w:r>
      <w:r w:rsidR="006E4DBF">
        <w:t xml:space="preserve">anche </w:t>
      </w:r>
      <w:r>
        <w:t xml:space="preserve">per le persone che all’interno </w:t>
      </w:r>
      <w:r>
        <w:rPr>
          <w:highlight w:val="yellow"/>
        </w:rPr>
        <w:t xml:space="preserve">dell'azienda / dell’organizzazione XY </w:t>
      </w:r>
      <w:r>
        <w:t xml:space="preserve">sono responsabili per le persone in formazione.  </w:t>
      </w:r>
    </w:p>
    <w:p w14:paraId="5E4644C8" w14:textId="77777777" w:rsidR="00031DC0" w:rsidRPr="0099134E" w:rsidRDefault="00E506CD" w:rsidP="00031DC0">
      <w:pPr>
        <w:tabs>
          <w:tab w:val="left" w:pos="3820"/>
        </w:tabs>
        <w:rPr>
          <w:b/>
          <w:bCs/>
        </w:rPr>
      </w:pPr>
      <w:r>
        <w:rPr>
          <w:b/>
          <w:bCs/>
        </w:rPr>
        <w:t>10.4 Sanzioni in caso di false accuse</w:t>
      </w:r>
    </w:p>
    <w:p w14:paraId="48C99CE6" w14:textId="1679F01D" w:rsidR="00031DC0" w:rsidRPr="0099134E" w:rsidRDefault="00031DC0" w:rsidP="00031DC0">
      <w:pPr>
        <w:tabs>
          <w:tab w:val="left" w:pos="3820"/>
        </w:tabs>
      </w:pPr>
      <w:r>
        <w:t xml:space="preserve">Le stesse sanzioni di cui al punto 10.2 sono applicabili alle persone che in malafede accusano qualcuno di molestie sessuali. </w:t>
      </w:r>
    </w:p>
    <w:p w14:paraId="79950123" w14:textId="77777777" w:rsidR="00031DC0" w:rsidRPr="0099134E" w:rsidRDefault="00031DC0" w:rsidP="00031DC0">
      <w:pPr>
        <w:tabs>
          <w:tab w:val="left" w:pos="3820"/>
        </w:tabs>
        <w:rPr>
          <w:b/>
          <w:bCs/>
        </w:rPr>
      </w:pPr>
      <w:r>
        <w:rPr>
          <w:b/>
          <w:bCs/>
        </w:rPr>
        <w:t xml:space="preserve">11 Entrata in vigore </w:t>
      </w:r>
    </w:p>
    <w:p w14:paraId="645996E5" w14:textId="77777777" w:rsidR="00B94480" w:rsidRPr="0099134E" w:rsidRDefault="00031DC0" w:rsidP="00A25002">
      <w:pPr>
        <w:tabs>
          <w:tab w:val="left" w:pos="3820"/>
        </w:tabs>
      </w:pPr>
      <w:r>
        <w:t xml:space="preserve">Il presente regolamento è stato approvato </w:t>
      </w:r>
      <w:r>
        <w:rPr>
          <w:highlight w:val="yellow"/>
        </w:rPr>
        <w:t>da</w:t>
      </w:r>
      <w:r>
        <w:t xml:space="preserve"> </w:t>
      </w:r>
      <w:r>
        <w:rPr>
          <w:highlight w:val="yellow"/>
        </w:rPr>
        <w:t>XY</w:t>
      </w:r>
      <w:r>
        <w:t xml:space="preserve"> ed entra in vigore il </w:t>
      </w:r>
      <w:r>
        <w:rPr>
          <w:highlight w:val="yellow"/>
        </w:rPr>
        <w:t>XX.XX.XXXX</w:t>
      </w:r>
      <w:r>
        <w:t xml:space="preserve">. </w:t>
      </w:r>
    </w:p>
    <w:sectPr w:rsidR="00B94480" w:rsidRPr="009913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3C8"/>
    <w:multiLevelType w:val="hybridMultilevel"/>
    <w:tmpl w:val="2376F0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3779"/>
    <w:multiLevelType w:val="hybridMultilevel"/>
    <w:tmpl w:val="C90673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F4743"/>
    <w:multiLevelType w:val="hybridMultilevel"/>
    <w:tmpl w:val="2C8A23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6413"/>
    <w:multiLevelType w:val="hybridMultilevel"/>
    <w:tmpl w:val="9FD89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501A"/>
    <w:multiLevelType w:val="hybridMultilevel"/>
    <w:tmpl w:val="114012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143"/>
    <w:multiLevelType w:val="hybridMultilevel"/>
    <w:tmpl w:val="DB167E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3AB4"/>
    <w:multiLevelType w:val="hybridMultilevel"/>
    <w:tmpl w:val="447EF6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5599"/>
    <w:multiLevelType w:val="hybridMultilevel"/>
    <w:tmpl w:val="FE048CA2"/>
    <w:lvl w:ilvl="0" w:tplc="F300D7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E505A"/>
    <w:multiLevelType w:val="hybridMultilevel"/>
    <w:tmpl w:val="4000A254"/>
    <w:lvl w:ilvl="0" w:tplc="A1F2286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644104"/>
    <w:multiLevelType w:val="hybridMultilevel"/>
    <w:tmpl w:val="362C80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70EE6"/>
    <w:multiLevelType w:val="hybridMultilevel"/>
    <w:tmpl w:val="A47CD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01B3F"/>
    <w:multiLevelType w:val="hybridMultilevel"/>
    <w:tmpl w:val="F6888B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91721">
    <w:abstractNumId w:val="8"/>
  </w:num>
  <w:num w:numId="2" w16cid:durableId="1181889822">
    <w:abstractNumId w:val="3"/>
  </w:num>
  <w:num w:numId="3" w16cid:durableId="239872504">
    <w:abstractNumId w:val="5"/>
  </w:num>
  <w:num w:numId="4" w16cid:durableId="108210462">
    <w:abstractNumId w:val="6"/>
  </w:num>
  <w:num w:numId="5" w16cid:durableId="1201284181">
    <w:abstractNumId w:val="10"/>
  </w:num>
  <w:num w:numId="6" w16cid:durableId="1376930710">
    <w:abstractNumId w:val="11"/>
  </w:num>
  <w:num w:numId="7" w16cid:durableId="583729511">
    <w:abstractNumId w:val="2"/>
  </w:num>
  <w:num w:numId="8" w16cid:durableId="303433910">
    <w:abstractNumId w:val="1"/>
  </w:num>
  <w:num w:numId="9" w16cid:durableId="507599437">
    <w:abstractNumId w:val="4"/>
  </w:num>
  <w:num w:numId="10" w16cid:durableId="219561869">
    <w:abstractNumId w:val="0"/>
  </w:num>
  <w:num w:numId="11" w16cid:durableId="1567717558">
    <w:abstractNumId w:val="9"/>
  </w:num>
  <w:num w:numId="12" w16cid:durableId="1810829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E6"/>
    <w:rsid w:val="0000155A"/>
    <w:rsid w:val="00031DC0"/>
    <w:rsid w:val="00094132"/>
    <w:rsid w:val="0013215C"/>
    <w:rsid w:val="0014769E"/>
    <w:rsid w:val="00257B1E"/>
    <w:rsid w:val="00272E0D"/>
    <w:rsid w:val="002C40CE"/>
    <w:rsid w:val="00301F73"/>
    <w:rsid w:val="003B5BF6"/>
    <w:rsid w:val="003D39E2"/>
    <w:rsid w:val="00460633"/>
    <w:rsid w:val="004727E6"/>
    <w:rsid w:val="00480655"/>
    <w:rsid w:val="004B2B75"/>
    <w:rsid w:val="00505CC3"/>
    <w:rsid w:val="00511D0C"/>
    <w:rsid w:val="00563E89"/>
    <w:rsid w:val="006D5E1D"/>
    <w:rsid w:val="006E4DBF"/>
    <w:rsid w:val="00760AF8"/>
    <w:rsid w:val="007B4AAD"/>
    <w:rsid w:val="007D4B31"/>
    <w:rsid w:val="00872DDD"/>
    <w:rsid w:val="009225F6"/>
    <w:rsid w:val="00964447"/>
    <w:rsid w:val="0099134E"/>
    <w:rsid w:val="00A033C5"/>
    <w:rsid w:val="00A25002"/>
    <w:rsid w:val="00A3100F"/>
    <w:rsid w:val="00A708EB"/>
    <w:rsid w:val="00A80234"/>
    <w:rsid w:val="00B1681F"/>
    <w:rsid w:val="00B202C7"/>
    <w:rsid w:val="00B52960"/>
    <w:rsid w:val="00B94480"/>
    <w:rsid w:val="00BD612D"/>
    <w:rsid w:val="00C03B12"/>
    <w:rsid w:val="00C51FC8"/>
    <w:rsid w:val="00C712CD"/>
    <w:rsid w:val="00D407A9"/>
    <w:rsid w:val="00D926A2"/>
    <w:rsid w:val="00DB6093"/>
    <w:rsid w:val="00DF0B74"/>
    <w:rsid w:val="00E506CD"/>
    <w:rsid w:val="00E65197"/>
    <w:rsid w:val="00F661A6"/>
    <w:rsid w:val="00F7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D3AD6"/>
  <w15:chartTrackingRefBased/>
  <w15:docId w15:val="{8BE46346-AE71-4C71-AB90-8BF21860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65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480655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727E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08E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08E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39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39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39E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39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39E2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rieb.ch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hstelle-mobbing.ch/fuer-arbeitgeber/externe-vertrauensstel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itera.c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3EC6-15B0-4C2C-B58B-3C4C12BD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1781</Words>
  <Characters>11226</Characters>
  <Application>Microsoft Office Word</Application>
  <DocSecurity>4</DocSecurity>
  <Lines>93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Ziltener Kathrin</dc:creator>
  <cp:keywords/>
  <dc:description/>
  <cp:lastModifiedBy>Fannin Elisabeth</cp:lastModifiedBy>
  <cp:revision>2</cp:revision>
  <cp:lastPrinted>2020-06-26T09:57:00Z</cp:lastPrinted>
  <dcterms:created xsi:type="dcterms:W3CDTF">2024-05-14T10:06:00Z</dcterms:created>
  <dcterms:modified xsi:type="dcterms:W3CDTF">2024-05-14T10:06:00Z</dcterms:modified>
</cp:coreProperties>
</file>